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A4FD5" w14:textId="15ACFA9E" w:rsidR="0019481F" w:rsidRPr="0019481F" w:rsidRDefault="0019481F" w:rsidP="0019481F">
      <w:pPr>
        <w:autoSpaceDE w:val="0"/>
        <w:autoSpaceDN w:val="0"/>
        <w:adjustRightInd w:val="0"/>
        <w:spacing w:after="0" w:line="240" w:lineRule="auto"/>
        <w:contextualSpacing/>
        <w:jc w:val="center"/>
        <w:rPr>
          <w:rFonts w:ascii="Times New Roman" w:hAnsi="Times New Roman" w:cs="Times New Roman"/>
          <w:b/>
          <w:i/>
          <w:sz w:val="24"/>
          <w:szCs w:val="24"/>
        </w:rPr>
      </w:pPr>
      <w:r>
        <w:rPr>
          <w:rFonts w:ascii="Times New Roman" w:hAnsi="Times New Roman" w:cs="Times New Roman"/>
          <w:b/>
          <w:i/>
          <w:sz w:val="24"/>
          <w:szCs w:val="24"/>
        </w:rPr>
        <w:t>The Garey Lab: Technologies and Skills</w:t>
      </w:r>
    </w:p>
    <w:p w14:paraId="7B5607B7" w14:textId="0B147C86" w:rsidR="007B297D" w:rsidRDefault="008809CD" w:rsidP="00A06382">
      <w:pPr>
        <w:autoSpaceDE w:val="0"/>
        <w:autoSpaceDN w:val="0"/>
        <w:adjustRightInd w:val="0"/>
        <w:spacing w:after="0" w:line="240" w:lineRule="auto"/>
        <w:contextualSpacing/>
        <w:jc w:val="center"/>
        <w:rPr>
          <w:rFonts w:ascii="Times New Roman" w:hAnsi="Times New Roman" w:cs="Times New Roman"/>
          <w:sz w:val="24"/>
          <w:szCs w:val="24"/>
        </w:rPr>
      </w:pPr>
      <w:r w:rsidRPr="00323E92">
        <w:rPr>
          <w:rFonts w:ascii="Times New Roman" w:hAnsi="Times New Roman" w:cs="Times New Roman"/>
          <w:sz w:val="24"/>
          <w:szCs w:val="24"/>
        </w:rPr>
        <w:t>University of Houston College of Pharmacy</w:t>
      </w:r>
    </w:p>
    <w:p w14:paraId="6965A87B" w14:textId="77777777" w:rsidR="00113EC8" w:rsidRPr="00323E92" w:rsidRDefault="00113EC8" w:rsidP="00CB406B">
      <w:pPr>
        <w:autoSpaceDE w:val="0"/>
        <w:autoSpaceDN w:val="0"/>
        <w:adjustRightInd w:val="0"/>
        <w:spacing w:after="0" w:line="240" w:lineRule="auto"/>
        <w:contextualSpacing/>
        <w:jc w:val="both"/>
        <w:rPr>
          <w:rFonts w:ascii="Times New Roman" w:hAnsi="Times New Roman" w:cs="Times New Roman"/>
          <w:b/>
          <w:sz w:val="24"/>
          <w:szCs w:val="24"/>
        </w:rPr>
      </w:pPr>
    </w:p>
    <w:p w14:paraId="2D093175" w14:textId="4959F0B2" w:rsidR="0019481F" w:rsidRDefault="0019481F" w:rsidP="00CB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Below you will find a list of some of the skills and expertise we offer at the Garey Lab. </w:t>
      </w:r>
      <w:r w:rsidRPr="0019481F">
        <w:rPr>
          <w:rFonts w:ascii="Times New Roman" w:hAnsi="Times New Roman" w:cs="Times New Roman"/>
          <w:b/>
          <w:bCs/>
          <w:sz w:val="24"/>
          <w:szCs w:val="24"/>
        </w:rPr>
        <w:t xml:space="preserve">Although we specialize in </w:t>
      </w:r>
      <w:r w:rsidRPr="0019481F">
        <w:rPr>
          <w:rFonts w:ascii="Times New Roman" w:hAnsi="Times New Roman" w:cs="Times New Roman"/>
          <w:b/>
          <w:bCs/>
          <w:i/>
          <w:iCs/>
          <w:sz w:val="24"/>
          <w:szCs w:val="24"/>
        </w:rPr>
        <w:t>C. difficile</w:t>
      </w:r>
      <w:r w:rsidRPr="0019481F">
        <w:rPr>
          <w:rFonts w:ascii="Times New Roman" w:hAnsi="Times New Roman" w:cs="Times New Roman"/>
          <w:b/>
          <w:bCs/>
          <w:sz w:val="24"/>
          <w:szCs w:val="24"/>
        </w:rPr>
        <w:t>, many of the options listed below are available for other organisms</w:t>
      </w:r>
      <w:r>
        <w:rPr>
          <w:rFonts w:ascii="Times New Roman" w:hAnsi="Times New Roman" w:cs="Times New Roman"/>
          <w:b/>
          <w:bCs/>
          <w:sz w:val="24"/>
          <w:szCs w:val="24"/>
        </w:rPr>
        <w:t xml:space="preserve"> as well</w:t>
      </w:r>
      <w:r>
        <w:rPr>
          <w:rFonts w:ascii="Times New Roman" w:hAnsi="Times New Roman" w:cs="Times New Roman"/>
          <w:sz w:val="24"/>
          <w:szCs w:val="24"/>
        </w:rPr>
        <w:t xml:space="preserve">. Note: for a full list of the </w:t>
      </w:r>
      <w:proofErr w:type="gramStart"/>
      <w:r>
        <w:rPr>
          <w:rFonts w:ascii="Times New Roman" w:hAnsi="Times New Roman" w:cs="Times New Roman"/>
          <w:sz w:val="24"/>
          <w:szCs w:val="24"/>
        </w:rPr>
        <w:t>equipment</w:t>
      </w:r>
      <w:proofErr w:type="gramEnd"/>
      <w:r>
        <w:rPr>
          <w:rFonts w:ascii="Times New Roman" w:hAnsi="Times New Roman" w:cs="Times New Roman"/>
          <w:sz w:val="24"/>
          <w:szCs w:val="24"/>
        </w:rPr>
        <w:t xml:space="preserve"> we have available, please visit the “Microbiology” page of our website.</w:t>
      </w:r>
    </w:p>
    <w:p w14:paraId="2C984EB1" w14:textId="77777777" w:rsidR="0019481F" w:rsidRDefault="0019481F" w:rsidP="00CB406B">
      <w:pPr>
        <w:spacing w:after="0" w:line="240" w:lineRule="auto"/>
        <w:jc w:val="both"/>
        <w:rPr>
          <w:rFonts w:ascii="Times New Roman" w:hAnsi="Times New Roman" w:cs="Times New Roman"/>
          <w:sz w:val="24"/>
          <w:szCs w:val="24"/>
        </w:rPr>
      </w:pPr>
    </w:p>
    <w:p w14:paraId="07B7B076" w14:textId="05741BE1" w:rsidR="00113EC8" w:rsidRPr="00323E92" w:rsidRDefault="0019481F" w:rsidP="00CB40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“Deliverables” below refer to the product we provide in the event of a collaboration with the Garey Lab. Pricing for each service is dependent on several factors, including volume and level of data interpretation</w:t>
      </w:r>
      <w:r w:rsidR="00113EC8" w:rsidRPr="00323E92">
        <w:rPr>
          <w:rFonts w:ascii="Times New Roman" w:hAnsi="Times New Roman" w:cs="Times New Roman"/>
          <w:sz w:val="24"/>
          <w:szCs w:val="24"/>
        </w:rPr>
        <w:t>.</w:t>
      </w:r>
      <w:r w:rsidR="007A2830">
        <w:rPr>
          <w:rFonts w:ascii="Times New Roman" w:hAnsi="Times New Roman" w:cs="Times New Roman"/>
          <w:sz w:val="24"/>
          <w:szCs w:val="24"/>
        </w:rPr>
        <w:t xml:space="preserve"> </w:t>
      </w:r>
      <w:r>
        <w:rPr>
          <w:rFonts w:ascii="Times New Roman" w:hAnsi="Times New Roman" w:cs="Times New Roman"/>
          <w:sz w:val="24"/>
          <w:szCs w:val="24"/>
        </w:rPr>
        <w:t>Please reach out to us by email (</w:t>
      </w:r>
      <w:hyperlink r:id="rId7" w:history="1">
        <w:r w:rsidRPr="00CB5B02">
          <w:rPr>
            <w:rStyle w:val="Hyperlink"/>
            <w:rFonts w:ascii="Times New Roman" w:hAnsi="Times New Roman" w:cs="Times New Roman"/>
            <w:sz w:val="24"/>
            <w:szCs w:val="24"/>
          </w:rPr>
          <w:t>kgarey@uh.edu</w:t>
        </w:r>
      </w:hyperlink>
      <w:r>
        <w:rPr>
          <w:rFonts w:ascii="Times New Roman" w:hAnsi="Times New Roman" w:cs="Times New Roman"/>
          <w:sz w:val="24"/>
          <w:szCs w:val="24"/>
        </w:rPr>
        <w:t xml:space="preserve">) if you are interested in a partnership with us or have more questions regarding our services! </w:t>
      </w:r>
    </w:p>
    <w:p w14:paraId="4504DB95" w14:textId="77777777" w:rsidR="00113EC8" w:rsidRPr="00323E92" w:rsidRDefault="00113EC8" w:rsidP="00CB406B">
      <w:pPr>
        <w:spacing w:after="0" w:line="240" w:lineRule="auto"/>
        <w:jc w:val="both"/>
        <w:rPr>
          <w:rFonts w:ascii="Times New Roman" w:hAnsi="Times New Roman" w:cs="Times New Roman"/>
          <w:sz w:val="24"/>
          <w:szCs w:val="24"/>
        </w:rPr>
      </w:pPr>
    </w:p>
    <w:p w14:paraId="5BE6DF19" w14:textId="30BA899B" w:rsidR="00113EC8" w:rsidRPr="00323E92" w:rsidRDefault="00113EC8" w:rsidP="00CB406B">
      <w:pPr>
        <w:spacing w:after="0" w:line="240" w:lineRule="auto"/>
        <w:jc w:val="both"/>
        <w:rPr>
          <w:rFonts w:ascii="Times New Roman" w:hAnsi="Times New Roman" w:cs="Times New Roman"/>
          <w:b/>
          <w:sz w:val="24"/>
          <w:szCs w:val="24"/>
        </w:rPr>
      </w:pPr>
      <w:r w:rsidRPr="00323E92">
        <w:rPr>
          <w:rFonts w:ascii="Times New Roman" w:hAnsi="Times New Roman" w:cs="Times New Roman"/>
          <w:b/>
          <w:sz w:val="24"/>
          <w:szCs w:val="24"/>
        </w:rPr>
        <w:t xml:space="preserve">1. </w:t>
      </w:r>
      <w:r w:rsidRPr="00323E92">
        <w:rPr>
          <w:rFonts w:ascii="Times New Roman" w:hAnsi="Times New Roman" w:cs="Times New Roman"/>
          <w:b/>
          <w:i/>
          <w:sz w:val="24"/>
          <w:szCs w:val="24"/>
        </w:rPr>
        <w:t>C. difficile</w:t>
      </w:r>
      <w:r w:rsidRPr="00323E92">
        <w:rPr>
          <w:rFonts w:ascii="Times New Roman" w:hAnsi="Times New Roman" w:cs="Times New Roman"/>
          <w:b/>
          <w:sz w:val="24"/>
          <w:szCs w:val="24"/>
        </w:rPr>
        <w:t xml:space="preserve"> growth, toxin characterization, and ribotyping.</w:t>
      </w:r>
    </w:p>
    <w:p w14:paraId="7F3DBA59" w14:textId="77777777" w:rsidR="00113EC8" w:rsidRPr="00323E92" w:rsidRDefault="00113EC8" w:rsidP="00CB406B">
      <w:pPr>
        <w:spacing w:after="0" w:line="240" w:lineRule="auto"/>
        <w:jc w:val="both"/>
        <w:rPr>
          <w:rFonts w:ascii="Times New Roman" w:hAnsi="Times New Roman" w:cs="Times New Roman"/>
          <w:sz w:val="24"/>
          <w:szCs w:val="24"/>
        </w:rPr>
      </w:pPr>
    </w:p>
    <w:p w14:paraId="33227F44" w14:textId="0C6069FE" w:rsidR="00113EC8" w:rsidRPr="00323E92" w:rsidRDefault="00A62A14" w:rsidP="00CB406B">
      <w:pPr>
        <w:spacing w:after="0" w:line="240" w:lineRule="auto"/>
        <w:jc w:val="both"/>
        <w:rPr>
          <w:rFonts w:ascii="Times New Roman" w:hAnsi="Times New Roman" w:cs="Times New Roman"/>
          <w:sz w:val="24"/>
          <w:szCs w:val="24"/>
        </w:rPr>
      </w:pPr>
      <w:r w:rsidRPr="00323E92">
        <w:rPr>
          <w:rFonts w:ascii="Times New Roman" w:hAnsi="Times New Roman" w:cs="Times New Roman"/>
          <w:sz w:val="24"/>
          <w:szCs w:val="24"/>
        </w:rPr>
        <w:t>These experiments provide data on presence of toxigenic C. difficile including the genes for toxins A, B, and the binary toxin.  Ribotyping is considered a moderately discriminatory typing method which includes identification of the recent epidemic 027 strains and emerging strains such as the 078 and 106 ribotypes.  Our library is matched to the European library allowing for worldwide comparison of strains.</w:t>
      </w:r>
    </w:p>
    <w:p w14:paraId="69CEEB72" w14:textId="77777777" w:rsidR="00A62A14" w:rsidRPr="00323E92" w:rsidRDefault="00A62A14" w:rsidP="00CB406B">
      <w:pPr>
        <w:spacing w:after="0" w:line="240" w:lineRule="auto"/>
        <w:jc w:val="both"/>
        <w:rPr>
          <w:rFonts w:ascii="Times New Roman" w:hAnsi="Times New Roman" w:cs="Times New Roman"/>
          <w:sz w:val="24"/>
          <w:szCs w:val="24"/>
        </w:rPr>
      </w:pPr>
    </w:p>
    <w:p w14:paraId="422B5AC4" w14:textId="0AD601DE" w:rsidR="00A62A14" w:rsidRPr="00323E92" w:rsidRDefault="00A62A14" w:rsidP="00CB406B">
      <w:pPr>
        <w:spacing w:after="0" w:line="240" w:lineRule="auto"/>
        <w:jc w:val="both"/>
        <w:rPr>
          <w:rFonts w:ascii="Times New Roman" w:hAnsi="Times New Roman" w:cs="Times New Roman"/>
          <w:sz w:val="24"/>
          <w:szCs w:val="24"/>
        </w:rPr>
      </w:pPr>
      <w:r w:rsidRPr="00323E92">
        <w:rPr>
          <w:rFonts w:ascii="Times New Roman" w:hAnsi="Times New Roman" w:cs="Times New Roman"/>
          <w:sz w:val="24"/>
          <w:szCs w:val="24"/>
        </w:rPr>
        <w:t>Deliverable:  For each sample, growth of C. difficile (yes/no), toxin test results (presence or absence of toxin A, toxin B, and binary toxin genes) and ribotype are provided.</w:t>
      </w:r>
    </w:p>
    <w:p w14:paraId="7D178854" w14:textId="77777777" w:rsidR="00A62A14" w:rsidRPr="00323E92" w:rsidRDefault="00A62A14" w:rsidP="00CB406B">
      <w:pPr>
        <w:spacing w:after="0" w:line="240" w:lineRule="auto"/>
        <w:jc w:val="both"/>
        <w:rPr>
          <w:rFonts w:ascii="Times New Roman" w:hAnsi="Times New Roman" w:cs="Times New Roman"/>
          <w:sz w:val="24"/>
          <w:szCs w:val="24"/>
        </w:rPr>
      </w:pPr>
    </w:p>
    <w:p w14:paraId="1F34F09F" w14:textId="77777777" w:rsidR="00A62A14" w:rsidRPr="00323E92" w:rsidRDefault="00A62A14" w:rsidP="00CB406B">
      <w:pPr>
        <w:spacing w:after="0" w:line="240" w:lineRule="auto"/>
        <w:jc w:val="both"/>
        <w:rPr>
          <w:rFonts w:ascii="Times New Roman" w:hAnsi="Times New Roman" w:cs="Times New Roman"/>
          <w:sz w:val="24"/>
          <w:szCs w:val="24"/>
        </w:rPr>
      </w:pPr>
    </w:p>
    <w:p w14:paraId="4CFFB6CA" w14:textId="46B9D31D" w:rsidR="00A62A14" w:rsidRPr="00323E92" w:rsidRDefault="00A62A14" w:rsidP="00CB406B">
      <w:pPr>
        <w:spacing w:after="0" w:line="240" w:lineRule="auto"/>
        <w:jc w:val="both"/>
        <w:rPr>
          <w:rFonts w:ascii="Times New Roman" w:hAnsi="Times New Roman" w:cs="Times New Roman"/>
          <w:b/>
          <w:sz w:val="24"/>
          <w:szCs w:val="24"/>
        </w:rPr>
      </w:pPr>
      <w:r w:rsidRPr="00323E92">
        <w:rPr>
          <w:rFonts w:ascii="Times New Roman" w:hAnsi="Times New Roman" w:cs="Times New Roman"/>
          <w:b/>
          <w:sz w:val="24"/>
          <w:szCs w:val="24"/>
        </w:rPr>
        <w:t xml:space="preserve">2.  </w:t>
      </w:r>
      <w:r w:rsidRPr="00ED0A0B">
        <w:rPr>
          <w:rFonts w:ascii="Times New Roman" w:hAnsi="Times New Roman" w:cs="Times New Roman"/>
          <w:b/>
          <w:i/>
          <w:iCs/>
          <w:sz w:val="24"/>
          <w:szCs w:val="24"/>
        </w:rPr>
        <w:t>C. difficile</w:t>
      </w:r>
      <w:r w:rsidRPr="00323E92">
        <w:rPr>
          <w:rFonts w:ascii="Times New Roman" w:hAnsi="Times New Roman" w:cs="Times New Roman"/>
          <w:b/>
          <w:sz w:val="24"/>
          <w:szCs w:val="24"/>
        </w:rPr>
        <w:t xml:space="preserve"> whole genome sequencing (WGS) analysis</w:t>
      </w:r>
    </w:p>
    <w:p w14:paraId="4D791C4F" w14:textId="77777777" w:rsidR="00113EC8" w:rsidRPr="00323E92" w:rsidRDefault="00113EC8" w:rsidP="00CB406B">
      <w:pPr>
        <w:spacing w:after="0" w:line="240" w:lineRule="auto"/>
        <w:jc w:val="both"/>
        <w:rPr>
          <w:rFonts w:ascii="Times New Roman" w:hAnsi="Times New Roman" w:cs="Times New Roman"/>
          <w:sz w:val="24"/>
          <w:szCs w:val="24"/>
        </w:rPr>
      </w:pPr>
    </w:p>
    <w:p w14:paraId="137B32AF" w14:textId="3023F3E7" w:rsidR="00817908" w:rsidRPr="00323E92" w:rsidRDefault="00A62A14" w:rsidP="00CB406B">
      <w:pPr>
        <w:spacing w:after="0" w:line="240" w:lineRule="auto"/>
        <w:jc w:val="both"/>
        <w:rPr>
          <w:rFonts w:ascii="Times New Roman" w:hAnsi="Times New Roman" w:cs="Times New Roman"/>
          <w:sz w:val="24"/>
          <w:szCs w:val="24"/>
        </w:rPr>
      </w:pPr>
      <w:r w:rsidRPr="00323E92">
        <w:rPr>
          <w:rFonts w:ascii="Times New Roman" w:hAnsi="Times New Roman" w:cs="Times New Roman"/>
          <w:sz w:val="24"/>
          <w:szCs w:val="24"/>
        </w:rPr>
        <w:t xml:space="preserve">WGS typing is the most discriminatory typing method available for </w:t>
      </w:r>
      <w:r w:rsidRPr="00323E92">
        <w:rPr>
          <w:rFonts w:ascii="Times New Roman" w:hAnsi="Times New Roman" w:cs="Times New Roman"/>
          <w:i/>
          <w:sz w:val="24"/>
          <w:szCs w:val="24"/>
        </w:rPr>
        <w:t>C. difficile</w:t>
      </w:r>
      <w:r w:rsidRPr="00323E92">
        <w:rPr>
          <w:rFonts w:ascii="Times New Roman" w:hAnsi="Times New Roman" w:cs="Times New Roman"/>
          <w:sz w:val="24"/>
          <w:szCs w:val="24"/>
        </w:rPr>
        <w:t xml:space="preserve"> studies.  After growth, C. difficile DNA is extracted, sequenced, and </w:t>
      </w:r>
      <w:proofErr w:type="spellStart"/>
      <w:r w:rsidRPr="00323E92">
        <w:rPr>
          <w:rFonts w:ascii="Times New Roman" w:hAnsi="Times New Roman" w:cs="Times New Roman"/>
          <w:sz w:val="24"/>
          <w:szCs w:val="24"/>
        </w:rPr>
        <w:t>fastq</w:t>
      </w:r>
      <w:proofErr w:type="spellEnd"/>
      <w:r w:rsidRPr="00323E92">
        <w:rPr>
          <w:rFonts w:ascii="Times New Roman" w:hAnsi="Times New Roman" w:cs="Times New Roman"/>
          <w:sz w:val="24"/>
          <w:szCs w:val="24"/>
        </w:rPr>
        <w:t xml:space="preserve"> files </w:t>
      </w:r>
      <w:r w:rsidR="00817908" w:rsidRPr="00323E92">
        <w:rPr>
          <w:rFonts w:ascii="Times New Roman" w:hAnsi="Times New Roman" w:cs="Times New Roman"/>
          <w:sz w:val="24"/>
          <w:szCs w:val="24"/>
        </w:rPr>
        <w:t xml:space="preserve">generated.  </w:t>
      </w:r>
    </w:p>
    <w:p w14:paraId="4FDC5EAD" w14:textId="77777777" w:rsidR="00817908" w:rsidRPr="00323E92" w:rsidRDefault="00817908" w:rsidP="00CB406B">
      <w:pPr>
        <w:spacing w:after="0" w:line="240" w:lineRule="auto"/>
        <w:jc w:val="both"/>
        <w:rPr>
          <w:rFonts w:ascii="Times New Roman" w:hAnsi="Times New Roman" w:cs="Times New Roman"/>
          <w:sz w:val="24"/>
          <w:szCs w:val="24"/>
        </w:rPr>
      </w:pPr>
    </w:p>
    <w:p w14:paraId="61E4DC38" w14:textId="6D3C9ADF" w:rsidR="00A62A14" w:rsidRPr="00323E92" w:rsidRDefault="00817908" w:rsidP="00CB406B">
      <w:pPr>
        <w:spacing w:after="0" w:line="240" w:lineRule="auto"/>
        <w:jc w:val="both"/>
        <w:rPr>
          <w:rFonts w:ascii="Times New Roman" w:hAnsi="Times New Roman" w:cs="Times New Roman"/>
          <w:sz w:val="24"/>
          <w:szCs w:val="24"/>
        </w:rPr>
      </w:pPr>
      <w:r w:rsidRPr="00323E92">
        <w:rPr>
          <w:rFonts w:ascii="Times New Roman" w:hAnsi="Times New Roman" w:cs="Times New Roman"/>
          <w:sz w:val="24"/>
          <w:szCs w:val="24"/>
        </w:rPr>
        <w:t xml:space="preserve">Deliverable:  The </w:t>
      </w:r>
      <w:proofErr w:type="spellStart"/>
      <w:r w:rsidRPr="00323E92">
        <w:rPr>
          <w:rFonts w:ascii="Times New Roman" w:hAnsi="Times New Roman" w:cs="Times New Roman"/>
          <w:sz w:val="24"/>
          <w:szCs w:val="24"/>
        </w:rPr>
        <w:t>fastQ</w:t>
      </w:r>
      <w:proofErr w:type="spellEnd"/>
      <w:r w:rsidRPr="00323E92">
        <w:rPr>
          <w:rFonts w:ascii="Times New Roman" w:hAnsi="Times New Roman" w:cs="Times New Roman"/>
          <w:sz w:val="24"/>
          <w:szCs w:val="24"/>
        </w:rPr>
        <w:t xml:space="preserve"> and quality data is provided for each sample.  </w:t>
      </w:r>
      <w:r w:rsidR="00323E92">
        <w:rPr>
          <w:rFonts w:ascii="Times New Roman" w:hAnsi="Times New Roman" w:cs="Times New Roman"/>
          <w:sz w:val="24"/>
          <w:szCs w:val="24"/>
        </w:rPr>
        <w:t xml:space="preserve">Phylogenetic analyses in the overall population and per </w:t>
      </w:r>
      <w:r w:rsidR="00E36440">
        <w:rPr>
          <w:rFonts w:ascii="Times New Roman" w:hAnsi="Times New Roman" w:cs="Times New Roman"/>
          <w:sz w:val="24"/>
          <w:szCs w:val="24"/>
        </w:rPr>
        <w:t>intervention</w:t>
      </w:r>
      <w:r w:rsidR="00323E92">
        <w:rPr>
          <w:rFonts w:ascii="Times New Roman" w:hAnsi="Times New Roman" w:cs="Times New Roman"/>
          <w:sz w:val="24"/>
          <w:szCs w:val="24"/>
        </w:rPr>
        <w:t xml:space="preserve"> analysis is performed as appropriate.  Presence of other known antimicrobial resistance genes in the </w:t>
      </w:r>
      <w:r w:rsidR="00323E92" w:rsidRPr="00323E92">
        <w:rPr>
          <w:rFonts w:ascii="Times New Roman" w:hAnsi="Times New Roman" w:cs="Times New Roman"/>
          <w:i/>
          <w:sz w:val="24"/>
          <w:szCs w:val="24"/>
        </w:rPr>
        <w:t>C. difficile</w:t>
      </w:r>
      <w:r w:rsidR="00323E92">
        <w:rPr>
          <w:rFonts w:ascii="Times New Roman" w:hAnsi="Times New Roman" w:cs="Times New Roman"/>
          <w:sz w:val="24"/>
          <w:szCs w:val="24"/>
        </w:rPr>
        <w:t xml:space="preserve"> genome is also analyzed based on treatment group.</w:t>
      </w:r>
      <w:r w:rsidR="00A62A14" w:rsidRPr="00323E92">
        <w:rPr>
          <w:rFonts w:ascii="Times New Roman" w:hAnsi="Times New Roman" w:cs="Times New Roman"/>
          <w:sz w:val="24"/>
          <w:szCs w:val="24"/>
        </w:rPr>
        <w:t xml:space="preserve">  </w:t>
      </w:r>
    </w:p>
    <w:p w14:paraId="56866ADB" w14:textId="77777777" w:rsidR="00BD31EF" w:rsidRDefault="00BD31EF">
      <w:pPr>
        <w:rPr>
          <w:rFonts w:ascii="Times New Roman" w:hAnsi="Times New Roman" w:cs="Times New Roman"/>
          <w:b/>
          <w:sz w:val="24"/>
          <w:szCs w:val="24"/>
        </w:rPr>
      </w:pPr>
    </w:p>
    <w:p w14:paraId="57FFF108" w14:textId="017A93D8" w:rsidR="00323E92" w:rsidRPr="00E36440" w:rsidRDefault="00323E92">
      <w:pPr>
        <w:rPr>
          <w:rFonts w:ascii="Times New Roman" w:hAnsi="Times New Roman" w:cs="Times New Roman"/>
          <w:b/>
          <w:sz w:val="24"/>
          <w:szCs w:val="24"/>
        </w:rPr>
      </w:pPr>
      <w:r w:rsidRPr="00E36440">
        <w:rPr>
          <w:rFonts w:ascii="Times New Roman" w:hAnsi="Times New Roman" w:cs="Times New Roman"/>
          <w:b/>
          <w:sz w:val="24"/>
          <w:szCs w:val="24"/>
        </w:rPr>
        <w:t>3.  16S rRNA microbiome analysis</w:t>
      </w:r>
    </w:p>
    <w:p w14:paraId="6403267B" w14:textId="7DD1EB8F" w:rsidR="00323E92" w:rsidRDefault="00323E92">
      <w:pPr>
        <w:rPr>
          <w:rFonts w:ascii="Times New Roman" w:hAnsi="Times New Roman" w:cs="Times New Roman"/>
          <w:sz w:val="24"/>
          <w:szCs w:val="24"/>
        </w:rPr>
      </w:pPr>
      <w:r>
        <w:rPr>
          <w:rFonts w:ascii="Times New Roman" w:hAnsi="Times New Roman" w:cs="Times New Roman"/>
          <w:sz w:val="24"/>
          <w:szCs w:val="24"/>
        </w:rPr>
        <w:t xml:space="preserve">16S rRNA analysis is a cost-effective sequencing method to understand microbial diversity at the phylum level.  Stool DNA is extracted, sequenced, and </w:t>
      </w:r>
      <w:proofErr w:type="spellStart"/>
      <w:r>
        <w:rPr>
          <w:rFonts w:ascii="Times New Roman" w:hAnsi="Times New Roman" w:cs="Times New Roman"/>
          <w:sz w:val="24"/>
          <w:szCs w:val="24"/>
        </w:rPr>
        <w:t>fastq</w:t>
      </w:r>
      <w:proofErr w:type="spellEnd"/>
      <w:r>
        <w:rPr>
          <w:rFonts w:ascii="Times New Roman" w:hAnsi="Times New Roman" w:cs="Times New Roman"/>
          <w:sz w:val="24"/>
          <w:szCs w:val="24"/>
        </w:rPr>
        <w:t xml:space="preserve"> files are generated. </w:t>
      </w:r>
    </w:p>
    <w:p w14:paraId="6E7F15F8" w14:textId="3BDF39F7" w:rsidR="00E36440" w:rsidRDefault="00323E92">
      <w:pPr>
        <w:rPr>
          <w:rFonts w:ascii="Times New Roman" w:hAnsi="Times New Roman" w:cs="Times New Roman"/>
          <w:sz w:val="24"/>
          <w:szCs w:val="24"/>
        </w:rPr>
      </w:pPr>
      <w:r w:rsidRPr="00323E92">
        <w:rPr>
          <w:rFonts w:ascii="Times New Roman" w:hAnsi="Times New Roman" w:cs="Times New Roman"/>
          <w:sz w:val="24"/>
          <w:szCs w:val="24"/>
        </w:rPr>
        <w:t xml:space="preserve">Deliverable:  The </w:t>
      </w:r>
      <w:proofErr w:type="spellStart"/>
      <w:r w:rsidRPr="00323E92">
        <w:rPr>
          <w:rFonts w:ascii="Times New Roman" w:hAnsi="Times New Roman" w:cs="Times New Roman"/>
          <w:sz w:val="24"/>
          <w:szCs w:val="24"/>
        </w:rPr>
        <w:t>fastQ</w:t>
      </w:r>
      <w:proofErr w:type="spellEnd"/>
      <w:r w:rsidRPr="00323E92">
        <w:rPr>
          <w:rFonts w:ascii="Times New Roman" w:hAnsi="Times New Roman" w:cs="Times New Roman"/>
          <w:sz w:val="24"/>
          <w:szCs w:val="24"/>
        </w:rPr>
        <w:t xml:space="preserve"> and quality data is provided for each sample.</w:t>
      </w:r>
      <w:r w:rsidR="00E36440">
        <w:rPr>
          <w:rFonts w:ascii="Times New Roman" w:hAnsi="Times New Roman" w:cs="Times New Roman"/>
          <w:sz w:val="24"/>
          <w:szCs w:val="24"/>
        </w:rPr>
        <w:t xml:space="preserve">  OTU tables are generated for species diversity to the phylum and genera level.  Analyses include diversity differences between groups, alpha and beta diversity among groups, and appropriate statistical tests for inference between treatment groups (PERMANOVA).</w:t>
      </w:r>
    </w:p>
    <w:p w14:paraId="599CB4AE" w14:textId="77777777" w:rsidR="00ED0A0B" w:rsidRDefault="00ED0A0B">
      <w:pPr>
        <w:rPr>
          <w:rFonts w:ascii="Times New Roman" w:hAnsi="Times New Roman" w:cs="Times New Roman"/>
          <w:sz w:val="24"/>
          <w:szCs w:val="24"/>
        </w:rPr>
      </w:pPr>
    </w:p>
    <w:p w14:paraId="13D665D4" w14:textId="0BEB36A9" w:rsidR="00323E92" w:rsidRPr="00E36440" w:rsidRDefault="00E36440">
      <w:pPr>
        <w:rPr>
          <w:rFonts w:ascii="Times New Roman" w:hAnsi="Times New Roman" w:cs="Times New Roman"/>
          <w:b/>
          <w:sz w:val="24"/>
          <w:szCs w:val="24"/>
        </w:rPr>
      </w:pPr>
      <w:r w:rsidRPr="00E36440">
        <w:rPr>
          <w:rFonts w:ascii="Times New Roman" w:hAnsi="Times New Roman" w:cs="Times New Roman"/>
          <w:b/>
          <w:sz w:val="24"/>
          <w:szCs w:val="24"/>
        </w:rPr>
        <w:lastRenderedPageBreak/>
        <w:t>4.  Shot gun sequencing analysis</w:t>
      </w:r>
    </w:p>
    <w:p w14:paraId="7C0498F2" w14:textId="3BE6042B" w:rsidR="00E36440" w:rsidRDefault="00E36440">
      <w:pPr>
        <w:rPr>
          <w:rFonts w:ascii="Times New Roman" w:hAnsi="Times New Roman" w:cs="Times New Roman"/>
          <w:sz w:val="24"/>
          <w:szCs w:val="24"/>
        </w:rPr>
      </w:pPr>
      <w:r>
        <w:rPr>
          <w:rFonts w:ascii="Times New Roman" w:hAnsi="Times New Roman" w:cs="Times New Roman"/>
          <w:sz w:val="24"/>
          <w:szCs w:val="24"/>
        </w:rPr>
        <w:t xml:space="preserve">Shot gun sequencing is the most discriminatory microbiome typing method allowing understanding of microbial diversity at the bacterial species level.  Procedures and analysis are similar to 16S rRNA but the deeper sequencing of the entire genome increases sequencing costs.  Note:  if shot gun sequencing is done, there is no need for 16S analysis.  </w:t>
      </w:r>
    </w:p>
    <w:p w14:paraId="6AA792DB" w14:textId="3758FDEF" w:rsidR="00E36440" w:rsidRDefault="00E36440">
      <w:pPr>
        <w:rPr>
          <w:rFonts w:ascii="Times New Roman" w:hAnsi="Times New Roman" w:cs="Times New Roman"/>
          <w:sz w:val="24"/>
          <w:szCs w:val="24"/>
        </w:rPr>
      </w:pPr>
      <w:r w:rsidRPr="00323E92">
        <w:rPr>
          <w:rFonts w:ascii="Times New Roman" w:hAnsi="Times New Roman" w:cs="Times New Roman"/>
          <w:sz w:val="24"/>
          <w:szCs w:val="24"/>
        </w:rPr>
        <w:t xml:space="preserve">Deliverable:  The </w:t>
      </w:r>
      <w:proofErr w:type="spellStart"/>
      <w:r w:rsidRPr="00323E92">
        <w:rPr>
          <w:rFonts w:ascii="Times New Roman" w:hAnsi="Times New Roman" w:cs="Times New Roman"/>
          <w:sz w:val="24"/>
          <w:szCs w:val="24"/>
        </w:rPr>
        <w:t>fastQ</w:t>
      </w:r>
      <w:proofErr w:type="spellEnd"/>
      <w:r w:rsidRPr="00323E92">
        <w:rPr>
          <w:rFonts w:ascii="Times New Roman" w:hAnsi="Times New Roman" w:cs="Times New Roman"/>
          <w:sz w:val="24"/>
          <w:szCs w:val="24"/>
        </w:rPr>
        <w:t xml:space="preserve"> and quality data is provided for each sample.</w:t>
      </w:r>
      <w:r>
        <w:rPr>
          <w:rFonts w:ascii="Times New Roman" w:hAnsi="Times New Roman" w:cs="Times New Roman"/>
          <w:sz w:val="24"/>
          <w:szCs w:val="24"/>
        </w:rPr>
        <w:t xml:space="preserve">  OTU tables are generated for species diversity to the phylum, genera, and species level.  Analyses include </w:t>
      </w:r>
      <w:proofErr w:type="spellStart"/>
      <w:r w:rsidR="000362C1">
        <w:rPr>
          <w:rFonts w:ascii="Times New Roman" w:hAnsi="Times New Roman" w:cs="Times New Roman"/>
          <w:sz w:val="24"/>
          <w:szCs w:val="24"/>
        </w:rPr>
        <w:t>phylogentic</w:t>
      </w:r>
      <w:proofErr w:type="spellEnd"/>
      <w:r w:rsidR="000362C1">
        <w:rPr>
          <w:rFonts w:ascii="Times New Roman" w:hAnsi="Times New Roman" w:cs="Times New Roman"/>
          <w:sz w:val="24"/>
          <w:szCs w:val="24"/>
        </w:rPr>
        <w:t xml:space="preserve"> analysis and </w:t>
      </w:r>
      <w:r>
        <w:rPr>
          <w:rFonts w:ascii="Times New Roman" w:hAnsi="Times New Roman" w:cs="Times New Roman"/>
          <w:sz w:val="24"/>
          <w:szCs w:val="24"/>
        </w:rPr>
        <w:t>diversity differences between groups, alpha and beta diversity among groups, and appropriate statistical tests for inference between treatment groups.</w:t>
      </w:r>
    </w:p>
    <w:p w14:paraId="18F4E9E5" w14:textId="77777777" w:rsidR="00ED0A0B" w:rsidRDefault="00ED0A0B">
      <w:pPr>
        <w:rPr>
          <w:rFonts w:ascii="Times New Roman" w:hAnsi="Times New Roman" w:cs="Times New Roman"/>
          <w:sz w:val="24"/>
          <w:szCs w:val="24"/>
        </w:rPr>
      </w:pPr>
    </w:p>
    <w:p w14:paraId="576C8807" w14:textId="6BCC5565" w:rsidR="00E36440" w:rsidRPr="00E36440" w:rsidRDefault="00E36440">
      <w:pPr>
        <w:rPr>
          <w:rFonts w:ascii="Times New Roman" w:hAnsi="Times New Roman" w:cs="Times New Roman"/>
          <w:b/>
          <w:sz w:val="24"/>
          <w:szCs w:val="24"/>
        </w:rPr>
      </w:pPr>
      <w:r w:rsidRPr="00E36440">
        <w:rPr>
          <w:rFonts w:ascii="Times New Roman" w:hAnsi="Times New Roman" w:cs="Times New Roman"/>
          <w:b/>
          <w:sz w:val="24"/>
          <w:szCs w:val="24"/>
        </w:rPr>
        <w:t>5. Quantitation of microbiota changes using qPCR</w:t>
      </w:r>
    </w:p>
    <w:p w14:paraId="3263F09D" w14:textId="6AFE62ED" w:rsidR="00E36440" w:rsidRDefault="00E36440">
      <w:pPr>
        <w:rPr>
          <w:rFonts w:ascii="Times New Roman" w:hAnsi="Times New Roman" w:cs="Times New Roman"/>
          <w:sz w:val="24"/>
          <w:szCs w:val="24"/>
        </w:rPr>
      </w:pPr>
      <w:r>
        <w:rPr>
          <w:rFonts w:ascii="Times New Roman" w:hAnsi="Times New Roman" w:cs="Times New Roman"/>
          <w:sz w:val="24"/>
          <w:szCs w:val="24"/>
        </w:rPr>
        <w:t>16S rRNA and shot gun sequencing allows for analysis of diversity changes among treatment groups.  To assess quantitative differences in microbiota composition, qPCR is used to assess quantities of appropriate bacterial groups</w:t>
      </w:r>
      <w:r w:rsidR="00411597">
        <w:rPr>
          <w:rFonts w:ascii="Times New Roman" w:hAnsi="Times New Roman" w:cs="Times New Roman"/>
          <w:sz w:val="24"/>
          <w:szCs w:val="24"/>
        </w:rPr>
        <w:t xml:space="preserve"> (Table 1)</w:t>
      </w:r>
      <w:r>
        <w:rPr>
          <w:rFonts w:ascii="Times New Roman" w:hAnsi="Times New Roman" w:cs="Times New Roman"/>
          <w:sz w:val="24"/>
          <w:szCs w:val="24"/>
        </w:rPr>
        <w:t>.</w:t>
      </w:r>
    </w:p>
    <w:p w14:paraId="44E56336" w14:textId="6859E636" w:rsidR="00E36440" w:rsidRDefault="00E36440">
      <w:pPr>
        <w:rPr>
          <w:rFonts w:ascii="Times New Roman" w:hAnsi="Times New Roman" w:cs="Times New Roman"/>
          <w:sz w:val="24"/>
          <w:szCs w:val="24"/>
        </w:rPr>
      </w:pPr>
      <w:r>
        <w:rPr>
          <w:rFonts w:ascii="Times New Roman" w:hAnsi="Times New Roman" w:cs="Times New Roman"/>
          <w:sz w:val="24"/>
          <w:szCs w:val="24"/>
        </w:rPr>
        <w:t>Deliverable:</w:t>
      </w:r>
      <w:r w:rsidR="00411597">
        <w:rPr>
          <w:rFonts w:ascii="Times New Roman" w:hAnsi="Times New Roman" w:cs="Times New Roman"/>
          <w:sz w:val="24"/>
          <w:szCs w:val="24"/>
        </w:rPr>
        <w:t xml:space="preserve">  Quantitative measurement of each bacterial group is provided per sample.  Analysis includes comparison of bacterial group median quantities between time points and treatment groups with appropriate statistics.   </w:t>
      </w:r>
    </w:p>
    <w:p w14:paraId="397E249D" w14:textId="77777777" w:rsidR="00ED0A0B" w:rsidRDefault="00ED0A0B">
      <w:pPr>
        <w:rPr>
          <w:rFonts w:ascii="Times New Roman" w:hAnsi="Times New Roman" w:cs="Times New Roman"/>
          <w:sz w:val="24"/>
          <w:szCs w:val="24"/>
        </w:rPr>
      </w:pPr>
    </w:p>
    <w:p w14:paraId="675EB069" w14:textId="06BDC6BE" w:rsidR="00A20EAE" w:rsidRPr="00A20EAE" w:rsidRDefault="00A20EAE">
      <w:pPr>
        <w:rPr>
          <w:rFonts w:ascii="Times New Roman" w:hAnsi="Times New Roman" w:cs="Times New Roman"/>
          <w:b/>
          <w:sz w:val="24"/>
          <w:szCs w:val="24"/>
        </w:rPr>
      </w:pPr>
      <w:r w:rsidRPr="00A20EAE">
        <w:rPr>
          <w:rFonts w:ascii="Times New Roman" w:hAnsi="Times New Roman" w:cs="Times New Roman"/>
          <w:b/>
          <w:sz w:val="24"/>
          <w:szCs w:val="24"/>
        </w:rPr>
        <w:t>6.</w:t>
      </w:r>
      <w:r w:rsidRPr="00ED0A0B">
        <w:rPr>
          <w:rFonts w:ascii="Times New Roman" w:hAnsi="Times New Roman" w:cs="Times New Roman"/>
          <w:b/>
          <w:i/>
          <w:iCs/>
          <w:sz w:val="24"/>
          <w:szCs w:val="24"/>
        </w:rPr>
        <w:t xml:space="preserve">  C. difficile </w:t>
      </w:r>
      <w:r w:rsidRPr="00A20EAE">
        <w:rPr>
          <w:rFonts w:ascii="Times New Roman" w:hAnsi="Times New Roman" w:cs="Times New Roman"/>
          <w:b/>
          <w:sz w:val="24"/>
          <w:szCs w:val="24"/>
        </w:rPr>
        <w:t>MIC susceptibility testing</w:t>
      </w:r>
    </w:p>
    <w:p w14:paraId="230D296B" w14:textId="5AEA8DA3" w:rsidR="00323E92" w:rsidRDefault="00A20EAE">
      <w:pPr>
        <w:rPr>
          <w:rFonts w:ascii="Times New Roman" w:hAnsi="Times New Roman" w:cs="Times New Roman"/>
          <w:sz w:val="24"/>
          <w:szCs w:val="24"/>
        </w:rPr>
      </w:pPr>
      <w:r w:rsidRPr="00A20EAE">
        <w:rPr>
          <w:rFonts w:ascii="Times New Roman" w:hAnsi="Times New Roman" w:cs="Times New Roman"/>
          <w:i/>
          <w:sz w:val="24"/>
          <w:szCs w:val="24"/>
        </w:rPr>
        <w:t>C. difficile</w:t>
      </w:r>
      <w:r>
        <w:rPr>
          <w:rFonts w:ascii="Times New Roman" w:hAnsi="Times New Roman" w:cs="Times New Roman"/>
          <w:sz w:val="24"/>
          <w:szCs w:val="24"/>
        </w:rPr>
        <w:t xml:space="preserve"> MIC susceptibility is performed by broth microdilution. MIC determinations are generally done for antibiotics used to treat </w:t>
      </w:r>
      <w:r w:rsidRPr="00ED0A0B">
        <w:rPr>
          <w:rFonts w:ascii="Times New Roman" w:hAnsi="Times New Roman" w:cs="Times New Roman"/>
          <w:i/>
          <w:iCs/>
          <w:sz w:val="24"/>
          <w:szCs w:val="24"/>
        </w:rPr>
        <w:t>C. difficile</w:t>
      </w:r>
      <w:r>
        <w:rPr>
          <w:rFonts w:ascii="Times New Roman" w:hAnsi="Times New Roman" w:cs="Times New Roman"/>
          <w:sz w:val="24"/>
          <w:szCs w:val="24"/>
        </w:rPr>
        <w:t xml:space="preserve"> (metronidazole, vancomycin, and fidaxomicin) or antibiotics that may be causative for CDI (usually ampicillin, cefotaxime, levofloxacin, meropenem, and others)</w:t>
      </w:r>
    </w:p>
    <w:p w14:paraId="73487AE2" w14:textId="36B21F43" w:rsidR="00A20EAE" w:rsidRDefault="00A20EAE">
      <w:pPr>
        <w:rPr>
          <w:rFonts w:ascii="Times New Roman" w:hAnsi="Times New Roman" w:cs="Times New Roman"/>
          <w:sz w:val="24"/>
          <w:szCs w:val="24"/>
        </w:rPr>
      </w:pPr>
      <w:r>
        <w:rPr>
          <w:rFonts w:ascii="Times New Roman" w:hAnsi="Times New Roman" w:cs="Times New Roman"/>
          <w:sz w:val="24"/>
          <w:szCs w:val="24"/>
        </w:rPr>
        <w:t>Deliverable: The MIC for selected antimicrobials is provided for each sample.  Analysis includes a summary table of MIC</w:t>
      </w:r>
      <w:r w:rsidRPr="00A20EAE">
        <w:rPr>
          <w:rFonts w:ascii="Times New Roman" w:hAnsi="Times New Roman" w:cs="Times New Roman"/>
          <w:sz w:val="24"/>
          <w:szCs w:val="24"/>
          <w:vertAlign w:val="subscript"/>
        </w:rPr>
        <w:t>50</w:t>
      </w:r>
      <w:r>
        <w:rPr>
          <w:rFonts w:ascii="Times New Roman" w:hAnsi="Times New Roman" w:cs="Times New Roman"/>
          <w:sz w:val="24"/>
          <w:szCs w:val="24"/>
        </w:rPr>
        <w:t>, MIC</w:t>
      </w:r>
      <w:r w:rsidRPr="00A20EAE">
        <w:rPr>
          <w:rFonts w:ascii="Times New Roman" w:hAnsi="Times New Roman" w:cs="Times New Roman"/>
          <w:sz w:val="24"/>
          <w:szCs w:val="24"/>
          <w:vertAlign w:val="subscript"/>
        </w:rPr>
        <w:t>90</w:t>
      </w:r>
      <w:r>
        <w:rPr>
          <w:rFonts w:ascii="Times New Roman" w:hAnsi="Times New Roman" w:cs="Times New Roman"/>
          <w:sz w:val="24"/>
          <w:szCs w:val="24"/>
        </w:rPr>
        <w:t>, and geometric mean MIC</w:t>
      </w:r>
      <w:r w:rsidR="00A06382">
        <w:rPr>
          <w:rFonts w:ascii="Times New Roman" w:hAnsi="Times New Roman" w:cs="Times New Roman"/>
          <w:sz w:val="24"/>
          <w:szCs w:val="24"/>
        </w:rPr>
        <w:t>.</w:t>
      </w:r>
    </w:p>
    <w:p w14:paraId="0009B29E" w14:textId="77777777" w:rsidR="00ED0A0B" w:rsidRDefault="00ED0A0B">
      <w:pPr>
        <w:rPr>
          <w:rFonts w:ascii="Times New Roman" w:hAnsi="Times New Roman" w:cs="Times New Roman"/>
          <w:sz w:val="24"/>
          <w:szCs w:val="24"/>
        </w:rPr>
      </w:pPr>
    </w:p>
    <w:p w14:paraId="2A19DF16" w14:textId="374F80B7" w:rsidR="00BF2D24" w:rsidRDefault="00BF2D24">
      <w:pPr>
        <w:rPr>
          <w:rFonts w:ascii="Times New Roman" w:hAnsi="Times New Roman" w:cs="Times New Roman"/>
          <w:sz w:val="24"/>
          <w:szCs w:val="24"/>
        </w:rPr>
      </w:pPr>
      <w:r>
        <w:rPr>
          <w:rFonts w:ascii="Times New Roman" w:hAnsi="Times New Roman" w:cs="Times New Roman"/>
          <w:b/>
          <w:sz w:val="24"/>
          <w:szCs w:val="24"/>
        </w:rPr>
        <w:t>7.  Culture for MDROs from stool</w:t>
      </w:r>
    </w:p>
    <w:p w14:paraId="0364AB6C" w14:textId="56235616" w:rsidR="00BF2D24" w:rsidRDefault="00253D63">
      <w:pPr>
        <w:rPr>
          <w:rFonts w:ascii="Times New Roman" w:hAnsi="Times New Roman" w:cs="Times New Roman"/>
          <w:iCs/>
          <w:sz w:val="24"/>
          <w:szCs w:val="24"/>
        </w:rPr>
      </w:pPr>
      <w:r>
        <w:rPr>
          <w:rFonts w:ascii="Times New Roman" w:hAnsi="Times New Roman" w:cs="Times New Roman"/>
          <w:sz w:val="24"/>
          <w:szCs w:val="24"/>
        </w:rPr>
        <w:t>S</w:t>
      </w:r>
      <w:r w:rsidRPr="00BF2D24">
        <w:rPr>
          <w:rFonts w:ascii="Times New Roman" w:hAnsi="Times New Roman" w:cs="Times New Roman"/>
          <w:sz w:val="24"/>
          <w:szCs w:val="24"/>
        </w:rPr>
        <w:t xml:space="preserve">tool samples </w:t>
      </w:r>
      <w:r>
        <w:rPr>
          <w:rFonts w:ascii="Times New Roman" w:hAnsi="Times New Roman" w:cs="Times New Roman"/>
          <w:sz w:val="24"/>
          <w:szCs w:val="24"/>
        </w:rPr>
        <w:t>are</w:t>
      </w:r>
      <w:r w:rsidRPr="00BF2D24">
        <w:rPr>
          <w:rFonts w:ascii="Times New Roman" w:hAnsi="Times New Roman" w:cs="Times New Roman"/>
          <w:sz w:val="24"/>
          <w:szCs w:val="24"/>
        </w:rPr>
        <w:t xml:space="preserve"> screened for</w:t>
      </w:r>
      <w:r>
        <w:rPr>
          <w:rFonts w:ascii="Times New Roman" w:hAnsi="Times New Roman" w:cs="Times New Roman"/>
          <w:sz w:val="24"/>
          <w:szCs w:val="24"/>
        </w:rPr>
        <w:t xml:space="preserve"> MDROs including MRSA, </w:t>
      </w:r>
      <w:r w:rsidRPr="00BF2D24">
        <w:rPr>
          <w:rFonts w:ascii="Times New Roman" w:hAnsi="Times New Roman" w:cs="Times New Roman"/>
          <w:sz w:val="24"/>
          <w:szCs w:val="24"/>
        </w:rPr>
        <w:t xml:space="preserve">VRE, ESBL-E/CRE and </w:t>
      </w:r>
      <w:r>
        <w:rPr>
          <w:rFonts w:ascii="Times New Roman" w:hAnsi="Times New Roman" w:cs="Times New Roman"/>
          <w:sz w:val="24"/>
          <w:szCs w:val="24"/>
        </w:rPr>
        <w:t>Candida</w:t>
      </w:r>
      <w:r>
        <w:rPr>
          <w:rFonts w:ascii="Times New Roman" w:hAnsi="Times New Roman" w:cs="Times New Roman"/>
          <w:iCs/>
          <w:sz w:val="24"/>
          <w:szCs w:val="24"/>
        </w:rPr>
        <w:t xml:space="preserve">. After enrichment in brain heart infusion (BHI), samples are sub-cultured onto highly selective agar plates (usually </w:t>
      </w:r>
      <w:proofErr w:type="spellStart"/>
      <w:r>
        <w:rPr>
          <w:rFonts w:ascii="Times New Roman" w:hAnsi="Times New Roman" w:cs="Times New Roman"/>
          <w:iCs/>
          <w:sz w:val="24"/>
          <w:szCs w:val="24"/>
        </w:rPr>
        <w:t>HardyCHROM</w:t>
      </w:r>
      <w:proofErr w:type="spellEnd"/>
      <w:r>
        <w:rPr>
          <w:rFonts w:ascii="Times New Roman" w:hAnsi="Times New Roman" w:cs="Times New Roman"/>
          <w:iCs/>
          <w:sz w:val="24"/>
          <w:szCs w:val="24"/>
        </w:rPr>
        <w:t xml:space="preserve"> plate).  Species and resistant determinants are then confirmed by PCR and/or MALDI-TOF.   Other species than the ones names above can be grown.  All isolates identified can also be further analyzed using whole genome sequencing.</w:t>
      </w:r>
    </w:p>
    <w:p w14:paraId="24AA6BED" w14:textId="2F7C74AB" w:rsidR="00253D63" w:rsidRDefault="00253D63">
      <w:pPr>
        <w:rPr>
          <w:rFonts w:ascii="Times New Roman" w:hAnsi="Times New Roman" w:cs="Times New Roman"/>
          <w:iCs/>
          <w:sz w:val="24"/>
          <w:szCs w:val="24"/>
        </w:rPr>
      </w:pPr>
      <w:r>
        <w:rPr>
          <w:rFonts w:ascii="Times New Roman" w:hAnsi="Times New Roman" w:cs="Times New Roman"/>
          <w:iCs/>
          <w:sz w:val="24"/>
          <w:szCs w:val="24"/>
        </w:rPr>
        <w:t xml:space="preserve">Deliverable: For each sample, presence or absence of each MDRO requested along with confirmation of species and resistant determinant. </w:t>
      </w:r>
    </w:p>
    <w:p w14:paraId="3CF8CE14" w14:textId="0F160B7A" w:rsidR="00113EC8" w:rsidRPr="00323E92" w:rsidRDefault="00113EC8" w:rsidP="00CB406B">
      <w:pPr>
        <w:spacing w:after="0" w:line="240" w:lineRule="auto"/>
        <w:jc w:val="both"/>
        <w:rPr>
          <w:rFonts w:ascii="Times New Roman" w:hAnsi="Times New Roman" w:cs="Times New Roman"/>
          <w:sz w:val="24"/>
          <w:szCs w:val="24"/>
        </w:rPr>
      </w:pPr>
    </w:p>
    <w:sectPr w:rsidR="00113EC8" w:rsidRPr="00323E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4C890" w14:textId="77777777" w:rsidR="007A6114" w:rsidRDefault="007A6114" w:rsidP="009E561F">
      <w:pPr>
        <w:spacing w:after="0" w:line="240" w:lineRule="auto"/>
      </w:pPr>
      <w:r>
        <w:separator/>
      </w:r>
    </w:p>
  </w:endnote>
  <w:endnote w:type="continuationSeparator" w:id="0">
    <w:p w14:paraId="3AEC074F" w14:textId="77777777" w:rsidR="007A6114" w:rsidRDefault="007A6114" w:rsidP="009E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MT">
    <w:altName w:val="Arial"/>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panose1 w:val="02020400000000000000"/>
    <w:charset w:val="80"/>
    <w:family w:val="roman"/>
    <w:notTrueType/>
    <w:pitch w:val="default"/>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8716810"/>
      <w:docPartObj>
        <w:docPartGallery w:val="Page Numbers (Bottom of Page)"/>
        <w:docPartUnique/>
      </w:docPartObj>
    </w:sdtPr>
    <w:sdtEndPr>
      <w:rPr>
        <w:noProof/>
      </w:rPr>
    </w:sdtEndPr>
    <w:sdtContent>
      <w:p w14:paraId="3B5D4693" w14:textId="57E3EF51" w:rsidR="009E561F" w:rsidRDefault="009E561F">
        <w:pPr>
          <w:pStyle w:val="Footer"/>
          <w:jc w:val="right"/>
        </w:pPr>
        <w:r>
          <w:fldChar w:fldCharType="begin"/>
        </w:r>
        <w:r>
          <w:instrText xml:space="preserve"> PAGE   \* MERGEFORMAT </w:instrText>
        </w:r>
        <w:r>
          <w:fldChar w:fldCharType="separate"/>
        </w:r>
        <w:r w:rsidR="00FE7311">
          <w:rPr>
            <w:noProof/>
          </w:rPr>
          <w:t>8</w:t>
        </w:r>
        <w:r>
          <w:rPr>
            <w:noProof/>
          </w:rPr>
          <w:fldChar w:fldCharType="end"/>
        </w:r>
      </w:p>
    </w:sdtContent>
  </w:sdt>
  <w:p w14:paraId="2C6E35E5" w14:textId="77777777" w:rsidR="009E561F" w:rsidRDefault="009E5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7AEC5" w14:textId="77777777" w:rsidR="007A6114" w:rsidRDefault="007A6114" w:rsidP="009E561F">
      <w:pPr>
        <w:spacing w:after="0" w:line="240" w:lineRule="auto"/>
      </w:pPr>
      <w:r>
        <w:separator/>
      </w:r>
    </w:p>
  </w:footnote>
  <w:footnote w:type="continuationSeparator" w:id="0">
    <w:p w14:paraId="4505DA3E" w14:textId="77777777" w:rsidR="007A6114" w:rsidRDefault="007A6114" w:rsidP="009E56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43788"/>
    <w:multiLevelType w:val="hybridMultilevel"/>
    <w:tmpl w:val="1256D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8377E"/>
    <w:multiLevelType w:val="hybridMultilevel"/>
    <w:tmpl w:val="A86493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FB3B4F"/>
    <w:multiLevelType w:val="singleLevel"/>
    <w:tmpl w:val="2B94275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031177"/>
    <w:multiLevelType w:val="hybridMultilevel"/>
    <w:tmpl w:val="704A21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A1A58"/>
    <w:multiLevelType w:val="hybridMultilevel"/>
    <w:tmpl w:val="B294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41258"/>
    <w:multiLevelType w:val="hybridMultilevel"/>
    <w:tmpl w:val="C1B0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B61C4"/>
    <w:multiLevelType w:val="hybridMultilevel"/>
    <w:tmpl w:val="16C0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3D7098"/>
    <w:multiLevelType w:val="multilevel"/>
    <w:tmpl w:val="16C033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40388"/>
    <w:multiLevelType w:val="hybridMultilevel"/>
    <w:tmpl w:val="51406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70005A8"/>
    <w:multiLevelType w:val="hybridMultilevel"/>
    <w:tmpl w:val="7EC27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D40B8"/>
    <w:multiLevelType w:val="hybridMultilevel"/>
    <w:tmpl w:val="B978A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3269A0"/>
    <w:multiLevelType w:val="hybridMultilevel"/>
    <w:tmpl w:val="D6DEC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313617A"/>
    <w:multiLevelType w:val="hybridMultilevel"/>
    <w:tmpl w:val="AEA442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B82434"/>
    <w:multiLevelType w:val="hybridMultilevel"/>
    <w:tmpl w:val="C1B0F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D4351"/>
    <w:multiLevelType w:val="hybridMultilevel"/>
    <w:tmpl w:val="84F8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003D46"/>
    <w:multiLevelType w:val="hybridMultilevel"/>
    <w:tmpl w:val="46800344"/>
    <w:lvl w:ilvl="0" w:tplc="04090001">
      <w:start w:val="1"/>
      <w:numFmt w:val="bullet"/>
      <w:lvlText w:val=""/>
      <w:lvlJc w:val="left"/>
      <w:pPr>
        <w:ind w:left="288" w:hanging="288"/>
      </w:pPr>
      <w:rPr>
        <w:rFonts w:ascii="Symbol" w:hAnsi="Symbol" w:hint="default"/>
      </w:rPr>
    </w:lvl>
    <w:lvl w:ilvl="1" w:tplc="6218866C">
      <w:numFmt w:val="bullet"/>
      <w:lvlText w:val="-"/>
      <w:lvlJc w:val="left"/>
      <w:pPr>
        <w:ind w:left="576" w:hanging="216"/>
      </w:pPr>
      <w:rPr>
        <w:rFonts w:ascii="ArialMT" w:eastAsiaTheme="minorHAnsi"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D516C"/>
    <w:multiLevelType w:val="hybridMultilevel"/>
    <w:tmpl w:val="4F9CA2E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0D17"/>
    <w:multiLevelType w:val="hybridMultilevel"/>
    <w:tmpl w:val="AB5C6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4"/>
  </w:num>
  <w:num w:numId="7">
    <w:abstractNumId w:val="6"/>
  </w:num>
  <w:num w:numId="8">
    <w:abstractNumId w:val="16"/>
  </w:num>
  <w:num w:numId="9">
    <w:abstractNumId w:val="7"/>
  </w:num>
  <w:num w:numId="10">
    <w:abstractNumId w:val="3"/>
  </w:num>
  <w:num w:numId="11">
    <w:abstractNumId w:val="2"/>
  </w:num>
  <w:num w:numId="12">
    <w:abstractNumId w:val="12"/>
  </w:num>
  <w:num w:numId="13">
    <w:abstractNumId w:val="10"/>
  </w:num>
  <w:num w:numId="14">
    <w:abstractNumId w:val="1"/>
  </w:num>
  <w:num w:numId="15">
    <w:abstractNumId w:val="14"/>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zw5v9tosswewepazep29dtaas5fzv5r9pw&quot;&gt;E coli library-Converted&lt;record-ids&gt;&lt;item&gt;23&lt;/item&gt;&lt;item&gt;24&lt;/item&gt;&lt;/record-ids&gt;&lt;/item&gt;&lt;/Libraries&gt;"/>
  </w:docVars>
  <w:rsids>
    <w:rsidRoot w:val="00B37B87"/>
    <w:rsid w:val="00000F79"/>
    <w:rsid w:val="00014D55"/>
    <w:rsid w:val="00017C76"/>
    <w:rsid w:val="000362C1"/>
    <w:rsid w:val="0004307E"/>
    <w:rsid w:val="00043768"/>
    <w:rsid w:val="00044B51"/>
    <w:rsid w:val="00070091"/>
    <w:rsid w:val="000A4FC3"/>
    <w:rsid w:val="000B1627"/>
    <w:rsid w:val="000D2A13"/>
    <w:rsid w:val="000E66A3"/>
    <w:rsid w:val="000F7FCE"/>
    <w:rsid w:val="0010416B"/>
    <w:rsid w:val="001051A5"/>
    <w:rsid w:val="00113EC8"/>
    <w:rsid w:val="00124D7E"/>
    <w:rsid w:val="00125C8C"/>
    <w:rsid w:val="00133F69"/>
    <w:rsid w:val="00141E17"/>
    <w:rsid w:val="0014270A"/>
    <w:rsid w:val="00147230"/>
    <w:rsid w:val="00151E99"/>
    <w:rsid w:val="00174C5F"/>
    <w:rsid w:val="00190178"/>
    <w:rsid w:val="00191AEF"/>
    <w:rsid w:val="0019481F"/>
    <w:rsid w:val="00196F3F"/>
    <w:rsid w:val="001A6DB8"/>
    <w:rsid w:val="001B0975"/>
    <w:rsid w:val="001C5E1A"/>
    <w:rsid w:val="001C609B"/>
    <w:rsid w:val="001E0BDB"/>
    <w:rsid w:val="001E5F37"/>
    <w:rsid w:val="00230208"/>
    <w:rsid w:val="00237E50"/>
    <w:rsid w:val="00240140"/>
    <w:rsid w:val="00253D63"/>
    <w:rsid w:val="00266DD1"/>
    <w:rsid w:val="00267A21"/>
    <w:rsid w:val="002B33F0"/>
    <w:rsid w:val="002E4BE5"/>
    <w:rsid w:val="002F702B"/>
    <w:rsid w:val="0030570F"/>
    <w:rsid w:val="00323E92"/>
    <w:rsid w:val="00340570"/>
    <w:rsid w:val="003438AC"/>
    <w:rsid w:val="00347C2A"/>
    <w:rsid w:val="00380A66"/>
    <w:rsid w:val="003940A1"/>
    <w:rsid w:val="00394195"/>
    <w:rsid w:val="00396E55"/>
    <w:rsid w:val="003D5D1A"/>
    <w:rsid w:val="00404445"/>
    <w:rsid w:val="00411597"/>
    <w:rsid w:val="00442A7A"/>
    <w:rsid w:val="00446F82"/>
    <w:rsid w:val="00462E6C"/>
    <w:rsid w:val="00463110"/>
    <w:rsid w:val="004704FC"/>
    <w:rsid w:val="00486282"/>
    <w:rsid w:val="004868A2"/>
    <w:rsid w:val="004C447A"/>
    <w:rsid w:val="004C76A7"/>
    <w:rsid w:val="004F09CB"/>
    <w:rsid w:val="00525FB1"/>
    <w:rsid w:val="005331B8"/>
    <w:rsid w:val="0055651B"/>
    <w:rsid w:val="005621B7"/>
    <w:rsid w:val="00562285"/>
    <w:rsid w:val="00583CED"/>
    <w:rsid w:val="00595D6F"/>
    <w:rsid w:val="005C5210"/>
    <w:rsid w:val="0061062E"/>
    <w:rsid w:val="00623AE8"/>
    <w:rsid w:val="006350D8"/>
    <w:rsid w:val="00661063"/>
    <w:rsid w:val="006632CC"/>
    <w:rsid w:val="00663B02"/>
    <w:rsid w:val="00664AD5"/>
    <w:rsid w:val="00674AD2"/>
    <w:rsid w:val="00681E4F"/>
    <w:rsid w:val="00686A40"/>
    <w:rsid w:val="006C672E"/>
    <w:rsid w:val="007852FD"/>
    <w:rsid w:val="0078658C"/>
    <w:rsid w:val="007A04A6"/>
    <w:rsid w:val="007A1EEB"/>
    <w:rsid w:val="007A2830"/>
    <w:rsid w:val="007A373B"/>
    <w:rsid w:val="007A6114"/>
    <w:rsid w:val="007B297D"/>
    <w:rsid w:val="007E7148"/>
    <w:rsid w:val="00802FEE"/>
    <w:rsid w:val="00807B01"/>
    <w:rsid w:val="00811434"/>
    <w:rsid w:val="0081490D"/>
    <w:rsid w:val="00816504"/>
    <w:rsid w:val="00817908"/>
    <w:rsid w:val="00874398"/>
    <w:rsid w:val="008809CD"/>
    <w:rsid w:val="008B1897"/>
    <w:rsid w:val="008C36C5"/>
    <w:rsid w:val="008C5DFB"/>
    <w:rsid w:val="008C6B90"/>
    <w:rsid w:val="008E1B4B"/>
    <w:rsid w:val="00901496"/>
    <w:rsid w:val="0092271E"/>
    <w:rsid w:val="00975DCA"/>
    <w:rsid w:val="00976E51"/>
    <w:rsid w:val="009842FC"/>
    <w:rsid w:val="009A1846"/>
    <w:rsid w:val="009C03BE"/>
    <w:rsid w:val="009C6A54"/>
    <w:rsid w:val="009D2BB9"/>
    <w:rsid w:val="009E561F"/>
    <w:rsid w:val="009F3183"/>
    <w:rsid w:val="009F5B08"/>
    <w:rsid w:val="009F78EC"/>
    <w:rsid w:val="00A0080A"/>
    <w:rsid w:val="00A06382"/>
    <w:rsid w:val="00A20EAE"/>
    <w:rsid w:val="00A236B9"/>
    <w:rsid w:val="00A61C1B"/>
    <w:rsid w:val="00A62A14"/>
    <w:rsid w:val="00A871F0"/>
    <w:rsid w:val="00A91AE4"/>
    <w:rsid w:val="00A95319"/>
    <w:rsid w:val="00AA2CEF"/>
    <w:rsid w:val="00AA4FEC"/>
    <w:rsid w:val="00B3254F"/>
    <w:rsid w:val="00B37B87"/>
    <w:rsid w:val="00B46403"/>
    <w:rsid w:val="00B87980"/>
    <w:rsid w:val="00B92347"/>
    <w:rsid w:val="00BB05EE"/>
    <w:rsid w:val="00BD31EF"/>
    <w:rsid w:val="00BF2592"/>
    <w:rsid w:val="00BF2D24"/>
    <w:rsid w:val="00BF4568"/>
    <w:rsid w:val="00C13BEB"/>
    <w:rsid w:val="00C23583"/>
    <w:rsid w:val="00C25E00"/>
    <w:rsid w:val="00C334EE"/>
    <w:rsid w:val="00C412AF"/>
    <w:rsid w:val="00C50406"/>
    <w:rsid w:val="00C5654D"/>
    <w:rsid w:val="00C65908"/>
    <w:rsid w:val="00C72A3F"/>
    <w:rsid w:val="00C82E4B"/>
    <w:rsid w:val="00C96350"/>
    <w:rsid w:val="00CB406B"/>
    <w:rsid w:val="00CD4899"/>
    <w:rsid w:val="00D10AA4"/>
    <w:rsid w:val="00D23521"/>
    <w:rsid w:val="00D57498"/>
    <w:rsid w:val="00D715C6"/>
    <w:rsid w:val="00D84238"/>
    <w:rsid w:val="00D84C3E"/>
    <w:rsid w:val="00DB4702"/>
    <w:rsid w:val="00DE3B2D"/>
    <w:rsid w:val="00DF22F8"/>
    <w:rsid w:val="00DF4544"/>
    <w:rsid w:val="00E16C42"/>
    <w:rsid w:val="00E24B30"/>
    <w:rsid w:val="00E300A3"/>
    <w:rsid w:val="00E36440"/>
    <w:rsid w:val="00E43EAA"/>
    <w:rsid w:val="00E51355"/>
    <w:rsid w:val="00E54FE1"/>
    <w:rsid w:val="00E664F2"/>
    <w:rsid w:val="00E73672"/>
    <w:rsid w:val="00E82206"/>
    <w:rsid w:val="00E97CC4"/>
    <w:rsid w:val="00EC2BCA"/>
    <w:rsid w:val="00EC37AF"/>
    <w:rsid w:val="00ED0A0B"/>
    <w:rsid w:val="00EE01FA"/>
    <w:rsid w:val="00EE4FF3"/>
    <w:rsid w:val="00EF1301"/>
    <w:rsid w:val="00F627BC"/>
    <w:rsid w:val="00F62D09"/>
    <w:rsid w:val="00F95B23"/>
    <w:rsid w:val="00F964D7"/>
    <w:rsid w:val="00FB4397"/>
    <w:rsid w:val="00FC7E45"/>
    <w:rsid w:val="00FE7311"/>
    <w:rsid w:val="00FF0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33CAE"/>
  <w15:docId w15:val="{AA3A1F99-5E45-48DD-9050-1CD3E3A44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37B87"/>
    <w:pPr>
      <w:ind w:left="720"/>
      <w:contextualSpacing/>
    </w:pPr>
  </w:style>
  <w:style w:type="paragraph" w:customStyle="1" w:styleId="Normal1">
    <w:name w:val="Normal1"/>
    <w:rsid w:val="001B0975"/>
    <w:pPr>
      <w:spacing w:after="0" w:line="276" w:lineRule="auto"/>
    </w:pPr>
    <w:rPr>
      <w:rFonts w:ascii="Arial" w:eastAsia="Arial" w:hAnsi="Arial" w:cs="Arial"/>
      <w:color w:val="000000"/>
      <w:szCs w:val="20"/>
    </w:rPr>
  </w:style>
  <w:style w:type="table" w:styleId="TableGrid">
    <w:name w:val="Table Grid"/>
    <w:basedOn w:val="TableNormal"/>
    <w:uiPriority w:val="59"/>
    <w:rsid w:val="000F7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7A2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1490D"/>
  </w:style>
  <w:style w:type="character" w:styleId="Hyperlink">
    <w:name w:val="Hyperlink"/>
    <w:rsid w:val="00664AD5"/>
    <w:rPr>
      <w:color w:val="0000FF"/>
      <w:u w:val="single"/>
    </w:rPr>
  </w:style>
  <w:style w:type="paragraph" w:styleId="PlainText">
    <w:name w:val="Plain Text"/>
    <w:basedOn w:val="Normal"/>
    <w:link w:val="PlainTextChar"/>
    <w:uiPriority w:val="99"/>
    <w:unhideWhenUsed/>
    <w:rsid w:val="00664AD5"/>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664AD5"/>
    <w:rPr>
      <w:rFonts w:ascii="Calibri" w:eastAsia="Calibri" w:hAnsi="Calibri" w:cs="Consolas"/>
      <w:szCs w:val="21"/>
    </w:rPr>
  </w:style>
  <w:style w:type="paragraph" w:customStyle="1" w:styleId="EndNoteBibliographyTitle">
    <w:name w:val="EndNote Bibliography Title"/>
    <w:basedOn w:val="Normal"/>
    <w:link w:val="EndNoteBibliographyTitleChar"/>
    <w:rsid w:val="009842FC"/>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9842FC"/>
    <w:rPr>
      <w:rFonts w:ascii="Times New Roman" w:hAnsi="Times New Roman" w:cs="Times New Roman"/>
      <w:noProof/>
      <w:sz w:val="24"/>
    </w:rPr>
  </w:style>
  <w:style w:type="paragraph" w:customStyle="1" w:styleId="EndNoteBibliography">
    <w:name w:val="EndNote Bibliography"/>
    <w:basedOn w:val="Normal"/>
    <w:link w:val="EndNoteBibliographyChar"/>
    <w:rsid w:val="009842FC"/>
    <w:pPr>
      <w:spacing w:line="240" w:lineRule="auto"/>
      <w:jc w:val="both"/>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9842FC"/>
    <w:rPr>
      <w:rFonts w:ascii="Times New Roman" w:hAnsi="Times New Roman" w:cs="Times New Roman"/>
      <w:noProof/>
      <w:sz w:val="24"/>
    </w:rPr>
  </w:style>
  <w:style w:type="paragraph" w:styleId="Header">
    <w:name w:val="header"/>
    <w:basedOn w:val="Normal"/>
    <w:link w:val="HeaderChar"/>
    <w:uiPriority w:val="99"/>
    <w:unhideWhenUsed/>
    <w:rsid w:val="009E5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561F"/>
  </w:style>
  <w:style w:type="paragraph" w:styleId="Footer">
    <w:name w:val="footer"/>
    <w:basedOn w:val="Normal"/>
    <w:link w:val="FooterChar"/>
    <w:uiPriority w:val="99"/>
    <w:unhideWhenUsed/>
    <w:rsid w:val="009E5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61F"/>
  </w:style>
  <w:style w:type="character" w:styleId="UnresolvedMention">
    <w:name w:val="Unresolved Mention"/>
    <w:basedOn w:val="DefaultParagraphFont"/>
    <w:uiPriority w:val="99"/>
    <w:semiHidden/>
    <w:unhideWhenUsed/>
    <w:rsid w:val="00194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13890">
      <w:bodyDiv w:val="1"/>
      <w:marLeft w:val="0"/>
      <w:marRight w:val="0"/>
      <w:marTop w:val="0"/>
      <w:marBottom w:val="0"/>
      <w:divBdr>
        <w:top w:val="none" w:sz="0" w:space="0" w:color="auto"/>
        <w:left w:val="none" w:sz="0" w:space="0" w:color="auto"/>
        <w:bottom w:val="none" w:sz="0" w:space="0" w:color="auto"/>
        <w:right w:val="none" w:sz="0" w:space="0" w:color="auto"/>
      </w:divBdr>
    </w:div>
    <w:div w:id="280764808">
      <w:bodyDiv w:val="1"/>
      <w:marLeft w:val="0"/>
      <w:marRight w:val="0"/>
      <w:marTop w:val="0"/>
      <w:marBottom w:val="0"/>
      <w:divBdr>
        <w:top w:val="none" w:sz="0" w:space="0" w:color="auto"/>
        <w:left w:val="none" w:sz="0" w:space="0" w:color="auto"/>
        <w:bottom w:val="none" w:sz="0" w:space="0" w:color="auto"/>
        <w:right w:val="none" w:sz="0" w:space="0" w:color="auto"/>
      </w:divBdr>
    </w:div>
    <w:div w:id="340544749">
      <w:bodyDiv w:val="1"/>
      <w:marLeft w:val="0"/>
      <w:marRight w:val="0"/>
      <w:marTop w:val="0"/>
      <w:marBottom w:val="0"/>
      <w:divBdr>
        <w:top w:val="none" w:sz="0" w:space="0" w:color="auto"/>
        <w:left w:val="none" w:sz="0" w:space="0" w:color="auto"/>
        <w:bottom w:val="none" w:sz="0" w:space="0" w:color="auto"/>
        <w:right w:val="none" w:sz="0" w:space="0" w:color="auto"/>
      </w:divBdr>
    </w:div>
    <w:div w:id="878394358">
      <w:bodyDiv w:val="1"/>
      <w:marLeft w:val="0"/>
      <w:marRight w:val="0"/>
      <w:marTop w:val="0"/>
      <w:marBottom w:val="0"/>
      <w:divBdr>
        <w:top w:val="none" w:sz="0" w:space="0" w:color="auto"/>
        <w:left w:val="none" w:sz="0" w:space="0" w:color="auto"/>
        <w:bottom w:val="none" w:sz="0" w:space="0" w:color="auto"/>
        <w:right w:val="none" w:sz="0" w:space="0" w:color="auto"/>
      </w:divBdr>
    </w:div>
    <w:div w:id="883559537">
      <w:bodyDiv w:val="1"/>
      <w:marLeft w:val="0"/>
      <w:marRight w:val="0"/>
      <w:marTop w:val="0"/>
      <w:marBottom w:val="0"/>
      <w:divBdr>
        <w:top w:val="none" w:sz="0" w:space="0" w:color="auto"/>
        <w:left w:val="none" w:sz="0" w:space="0" w:color="auto"/>
        <w:bottom w:val="none" w:sz="0" w:space="0" w:color="auto"/>
        <w:right w:val="none" w:sz="0" w:space="0" w:color="auto"/>
      </w:divBdr>
    </w:div>
    <w:div w:id="973103904">
      <w:bodyDiv w:val="1"/>
      <w:marLeft w:val="0"/>
      <w:marRight w:val="0"/>
      <w:marTop w:val="0"/>
      <w:marBottom w:val="0"/>
      <w:divBdr>
        <w:top w:val="none" w:sz="0" w:space="0" w:color="auto"/>
        <w:left w:val="none" w:sz="0" w:space="0" w:color="auto"/>
        <w:bottom w:val="none" w:sz="0" w:space="0" w:color="auto"/>
        <w:right w:val="none" w:sz="0" w:space="0" w:color="auto"/>
      </w:divBdr>
    </w:div>
    <w:div w:id="1055206209">
      <w:bodyDiv w:val="1"/>
      <w:marLeft w:val="0"/>
      <w:marRight w:val="0"/>
      <w:marTop w:val="0"/>
      <w:marBottom w:val="0"/>
      <w:divBdr>
        <w:top w:val="none" w:sz="0" w:space="0" w:color="auto"/>
        <w:left w:val="none" w:sz="0" w:space="0" w:color="auto"/>
        <w:bottom w:val="none" w:sz="0" w:space="0" w:color="auto"/>
        <w:right w:val="none" w:sz="0" w:space="0" w:color="auto"/>
      </w:divBdr>
      <w:divsChild>
        <w:div w:id="1263146527">
          <w:marLeft w:val="547"/>
          <w:marRight w:val="0"/>
          <w:marTop w:val="96"/>
          <w:marBottom w:val="0"/>
          <w:divBdr>
            <w:top w:val="none" w:sz="0" w:space="0" w:color="auto"/>
            <w:left w:val="none" w:sz="0" w:space="0" w:color="auto"/>
            <w:bottom w:val="none" w:sz="0" w:space="0" w:color="auto"/>
            <w:right w:val="none" w:sz="0" w:space="0" w:color="auto"/>
          </w:divBdr>
        </w:div>
      </w:divsChild>
    </w:div>
    <w:div w:id="1180390899">
      <w:bodyDiv w:val="1"/>
      <w:marLeft w:val="0"/>
      <w:marRight w:val="0"/>
      <w:marTop w:val="0"/>
      <w:marBottom w:val="0"/>
      <w:divBdr>
        <w:top w:val="none" w:sz="0" w:space="0" w:color="auto"/>
        <w:left w:val="none" w:sz="0" w:space="0" w:color="auto"/>
        <w:bottom w:val="none" w:sz="0" w:space="0" w:color="auto"/>
        <w:right w:val="none" w:sz="0" w:space="0" w:color="auto"/>
      </w:divBdr>
    </w:div>
    <w:div w:id="1440836190">
      <w:bodyDiv w:val="1"/>
      <w:marLeft w:val="0"/>
      <w:marRight w:val="0"/>
      <w:marTop w:val="0"/>
      <w:marBottom w:val="0"/>
      <w:divBdr>
        <w:top w:val="none" w:sz="0" w:space="0" w:color="auto"/>
        <w:left w:val="none" w:sz="0" w:space="0" w:color="auto"/>
        <w:bottom w:val="none" w:sz="0" w:space="0" w:color="auto"/>
        <w:right w:val="none" w:sz="0" w:space="0" w:color="auto"/>
      </w:divBdr>
    </w:div>
    <w:div w:id="1572080057">
      <w:bodyDiv w:val="1"/>
      <w:marLeft w:val="0"/>
      <w:marRight w:val="0"/>
      <w:marTop w:val="0"/>
      <w:marBottom w:val="0"/>
      <w:divBdr>
        <w:top w:val="none" w:sz="0" w:space="0" w:color="auto"/>
        <w:left w:val="none" w:sz="0" w:space="0" w:color="auto"/>
        <w:bottom w:val="none" w:sz="0" w:space="0" w:color="auto"/>
        <w:right w:val="none" w:sz="0" w:space="0" w:color="auto"/>
      </w:divBdr>
    </w:div>
    <w:div w:id="1684936675">
      <w:bodyDiv w:val="1"/>
      <w:marLeft w:val="0"/>
      <w:marRight w:val="0"/>
      <w:marTop w:val="0"/>
      <w:marBottom w:val="0"/>
      <w:divBdr>
        <w:top w:val="none" w:sz="0" w:space="0" w:color="auto"/>
        <w:left w:val="none" w:sz="0" w:space="0" w:color="auto"/>
        <w:bottom w:val="none" w:sz="0" w:space="0" w:color="auto"/>
        <w:right w:val="none" w:sz="0" w:space="0" w:color="auto"/>
      </w:divBdr>
      <w:divsChild>
        <w:div w:id="117684600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garey@u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Carlson, Travis J</dc:creator>
  <cp:keywords/>
  <dc:description/>
  <cp:lastModifiedBy>Gonzales-Luna, Anne J</cp:lastModifiedBy>
  <cp:revision>2</cp:revision>
  <dcterms:created xsi:type="dcterms:W3CDTF">2021-03-17T15:38:00Z</dcterms:created>
  <dcterms:modified xsi:type="dcterms:W3CDTF">2021-03-17T15:38:00Z</dcterms:modified>
</cp:coreProperties>
</file>